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9" w:rsidRPr="00967BF5" w:rsidRDefault="009B169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Как проверить, что ребенок стал участником программы «Национальный фонд – детям»?</w:t>
            </w:r>
          </w:p>
          <w:p w:rsidR="009B1699" w:rsidRPr="00967BF5" w:rsidRDefault="009B1699" w:rsidP="00CF59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CF59F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Для проверки необходимо зайти на сайт kids.enpf.kz и в разделе «Поиск участника» ввести ИИН ребенка. Затем нажать кнопку «Проверить». Далее Вы получите информацию с указанием года, начиная с которого Ваш ребенок стал участником программы, а также узнаете общую сумму его накопленных целевых требований.  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F9" w:rsidRPr="00967BF5" w:rsidRDefault="00CF59F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Чем отличаются целевые требования от целевых накоплений?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F9" w:rsidRPr="00967BF5" w:rsidRDefault="00CF59F9" w:rsidP="00CF59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BF5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требования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это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обязательства Правительства перед детьми - гражданами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азахстан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, не достигшими 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Целевые требования формируются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за счет 50% инвестиционного дохода 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Нацфонда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елевые требования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начисляются и учитываются на счетах в ЕНПФ, но сами активы продолжают инвестироваться в составе активов Нацфонда и на них ежегодно дополнительно начисляется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инвестиционный доход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F59F9" w:rsidRPr="00967BF5" w:rsidRDefault="00CF59F9" w:rsidP="00CF59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</w:t>
            </w:r>
            <w:r w:rsidRPr="00967BF5">
              <w:rPr>
                <w:rFonts w:ascii="Times New Roman" w:hAnsi="Times New Roman" w:cs="Times New Roman"/>
                <w:b/>
                <w:sz w:val="24"/>
                <w:szCs w:val="24"/>
              </w:rPr>
              <w:t>елевые накопления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это ранее накопленные суммы целевых требований, которые в виде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денег зачислены на целевые накопительные счета получателей-граждан Казахстан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в год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ими 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восемнадцатилетия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F59F9" w:rsidRPr="00967BF5" w:rsidRDefault="00CF59F9" w:rsidP="00CF59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Таким образом, по достижении восемнадцати лет целевые требования становятся целевыми накоплениями. Начисляются и хранятся они у каждого участника программы на его целевом накопительном счете в ЕНПФ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долларах США.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Как вычисляется усредненный инвестиционный доход?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расчет усредненного инвестиционного дохода 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Нацфонда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производится путем умножения среднегодовой (средней геометрической) доходности валютных активов 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Нацфонда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восемнадцать лет на среднемесячную (среднюю арифметическую) рыночную стоимость чистых валютных активов 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Нацфонда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B1699" w:rsidRPr="00967BF5" w:rsidRDefault="009B1699" w:rsidP="00CF59F9">
            <w:pPr>
              <w:pStyle w:val="a9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Подробнее можно ознакомиться в Правилах формирования и учета целевых требований, целевых накоплений и выплат целевых накоплений, а также начисления целевых требований, утвержденных постановлением Правительства Республики Казахстан №16 от 18 января 2024 года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67BF5" w:rsidRPr="00967BF5" w:rsidTr="009B1699">
        <w:trPr>
          <w:trHeight w:val="127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9" w:rsidRPr="00967BF5" w:rsidRDefault="00CF59F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Как защищены целевые накопления детей? </w:t>
            </w:r>
          </w:p>
          <w:p w:rsidR="009B1699" w:rsidRPr="00967BF5" w:rsidRDefault="009B1699" w:rsidP="00CF59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F9" w:rsidRPr="00967BF5" w:rsidRDefault="00CF59F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На выплаты целевых накоплений из Национального фонда запрещается: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- наложение ареста или обращение взысканий на деньги, находящиеся на банковских счетах;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- приостановление расходных операций по денежным средствам, находящимся на банковских счетах;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- изъятие денег без согласия получателя накоплений;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- временное ограничение распоряжения деньгами, находящимися в банке.  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- обложение индивидуальным подоходным налогом.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F9" w:rsidRPr="00967BF5" w:rsidRDefault="00CF59F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После перечисления целевых накоплений из 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Нац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в ЕНПФ будет ли на них начисляться инвестиционный доход?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F9" w:rsidRPr="00967BF5" w:rsidRDefault="00CF59F9" w:rsidP="00CF59F9">
            <w:pPr>
              <w:ind w:firstLine="709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Целевые накопления, зачисленные на целевые накопительные счета в ЕНПФ, не инвестируются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в финансовые инструменты. Они хранятся в долларах США и доступны для использования получателями целевых накоплений или их наследниками.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F9" w:rsidRPr="00967BF5" w:rsidRDefault="00CF59F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Отразится ли участие в программе «Национальный фонд – детям» на получении других пособий от государства, например, пособий по инвалидности или многодетным матерям?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F9" w:rsidRPr="00967BF5" w:rsidRDefault="00CF59F9" w:rsidP="00CF59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Дети, получающие государственные пособия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по инвалидности, многодетные семьи, </w:t>
            </w:r>
            <w:r w:rsidRPr="00967BF5">
              <w:rPr>
                <w:rFonts w:ascii="Times New Roman" w:hAnsi="Times New Roman" w:cs="Times New Roman"/>
                <w:b/>
                <w:sz w:val="24"/>
                <w:szCs w:val="24"/>
              </w:rPr>
              <w:t>наравне со всеми детьми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– гражданами Казахстана участвуют в программе «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Нацфонд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-детям».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Могут ли дети из одной семьи передавать друг другу свои целевые накопления на примере уступки единовременных пенсионных выплат на жилье и лечение?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9" w:rsidRPr="00967BF5" w:rsidRDefault="009B1699" w:rsidP="00CF59F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Уступка выплат целевых накоплений в целях улучшения жилищных условий или оплаты образования в пользу близких родственников не предусмотрена действующим законодательством.</w:t>
            </w:r>
          </w:p>
          <w:p w:rsidR="009B1699" w:rsidRPr="00967BF5" w:rsidRDefault="009B1699" w:rsidP="00CF59F9">
            <w:pPr>
              <w:pStyle w:val="pj"/>
              <w:ind w:firstLine="567"/>
              <w:rPr>
                <w:color w:val="auto"/>
                <w:lang w:eastAsia="en-US"/>
              </w:rPr>
            </w:pP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Мой ребенок не попал в список участников из-за отсутствия его сведений в государственной базе данных. Будет ли он включен в Программу и как это отразится в сумме целевых требования?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10045E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</w:t>
            </w:r>
            <w:r w:rsidR="00CF59F9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9B1699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CF59F9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были </w:t>
            </w:r>
            <w:r w:rsidR="009B1699" w:rsidRPr="00967BF5"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  <w:r w:rsidR="00CF59F9" w:rsidRPr="00967BF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B1699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в список участников целевых требований и не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были </w:t>
            </w:r>
            <w:r w:rsidR="009B1699" w:rsidRPr="00967BF5">
              <w:rPr>
                <w:rFonts w:ascii="Times New Roman" w:hAnsi="Times New Roman" w:cs="Times New Roman"/>
                <w:sz w:val="24"/>
                <w:szCs w:val="24"/>
              </w:rPr>
              <w:t>учтены при расчете общего количества участников целевых требований, но име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9B1699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либо име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9B1699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право быть участниками целевых требований,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9B1699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целевые требования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будут полностью </w:t>
            </w:r>
            <w:r w:rsidR="009B1699" w:rsidRPr="00967BF5">
              <w:rPr>
                <w:rFonts w:ascii="Times New Roman" w:hAnsi="Times New Roman" w:cs="Times New Roman"/>
                <w:sz w:val="24"/>
                <w:szCs w:val="24"/>
              </w:rPr>
              <w:t>начисл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="009B1699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за пропущенный (пропущенные) период (периоды) в год, следующий за годом обращения.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При этом рекомендуем законным представителям</w:t>
            </w:r>
            <w:r w:rsidR="0010045E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таких детей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ab/>
              <w:t>проверить: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наличие у ребенка документа, удостоверяющего личность (свидетельство о рождении, с 16 лет удостоверение личности гражданина Республики Казахстан);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корректность и наличие в документе, удостоверяющем личность, реквизитов: ФИО, </w:t>
            </w:r>
            <w:r w:rsidR="0010045E" w:rsidRPr="00967BF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, ИИН, гражданство;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наличие, прикрепление и корректность сведений о детях в своем личном кабинете </w:t>
            </w:r>
            <w:r w:rsidR="0010045E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</w:t>
            </w:r>
            <w:proofErr w:type="spellStart"/>
            <w:r w:rsidR="0010045E" w:rsidRPr="00967BF5">
              <w:rPr>
                <w:rFonts w:ascii="Times New Roman" w:hAnsi="Times New Roman" w:cs="Times New Roman"/>
                <w:sz w:val="24"/>
                <w:szCs w:val="24"/>
              </w:rPr>
              <w:t>eGov</w:t>
            </w:r>
            <w:proofErr w:type="spellEnd"/>
            <w:r w:rsidR="0010045E" w:rsidRPr="00967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0045E" w:rsidRPr="00967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ab/>
              <w:t>если у ребенка: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документ, удостоверяющий личность, отсутствует ИИН, необходимо обратиться в Государственную корпорацию </w:t>
            </w:r>
            <w:r w:rsidR="0010045E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«Правительство для граждан»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по месту жительства (ЦОН);</w:t>
            </w:r>
          </w:p>
          <w:p w:rsidR="009B1699" w:rsidRPr="00967BF5" w:rsidRDefault="009B1699" w:rsidP="00CF59F9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отсутствует или не установлено или указано некорректно гражданство, необходимо обратиться в миграционную службу по месту проживания.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Какой государственный орган осуществляет контроль за начислением целевых требований из Национального фонда?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порядком ведения ЕНПФ учета целевых требований, целевых накоплений и целевых активов осуществляется </w:t>
            </w:r>
            <w:r w:rsidR="0010045E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Агентством РК по регулированию и развитию финансового рынка -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уполномоченным органом по регулированию, контролю и надзору финансового рынка и финансовых организаций.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Какая организация формирует список детей, которые будут участвовать в Программе?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9" w:rsidRPr="00967BF5" w:rsidRDefault="009B1699" w:rsidP="001E263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ЕНПФ самостоятельно формирует список участников целевых требований в </w:t>
            </w:r>
            <w:r w:rsidR="001E263A" w:rsidRPr="00967BF5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системе ЕНПФ на основании полученных сведений из Государственной базы данных «Физические лица» (ГБД ФЛ).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моего ребенка уже открыт счет в ЕНПФ и перечислены его целевые накопления, но мы не можем сейчас использовать эти средства, почему?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Целевой накопительный счет открывается в ЕНПФ автоматически лицам в год достижения совершеннолетия с зачислением суммы целевых накоплений в долларах США.</w:t>
            </w:r>
          </w:p>
          <w:p w:rsidR="009B1699" w:rsidRPr="00967BF5" w:rsidRDefault="001E263A" w:rsidP="001E263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Только п</w:t>
            </w:r>
            <w:r w:rsidR="009B1699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осле исполнения 18 лет получатели целевых накоплений получат право самостоятельно использовать накопления на две цели – на улучшение жилищных условий и (или) оплаты образования. </w:t>
            </w:r>
          </w:p>
        </w:tc>
      </w:tr>
      <w:tr w:rsidR="00967BF5" w:rsidRPr="00967BF5" w:rsidTr="009B1699">
        <w:trPr>
          <w:trHeight w:val="528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Можно ли вернуть целевые накопления от уполномоченного оператора назад в ЕНПФ?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1E263A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Банк - у</w:t>
            </w:r>
            <w:r w:rsidR="009B1699" w:rsidRPr="00967BF5">
              <w:rPr>
                <w:rFonts w:ascii="Times New Roman" w:hAnsi="Times New Roman" w:cs="Times New Roman"/>
                <w:sz w:val="24"/>
                <w:szCs w:val="24"/>
              </w:rPr>
              <w:t>полномоченный оператор проводит работу по возврату выплат целевых накоплений в следующих случаях: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1) подачи получателем целевых накоплений либо его законным представителем уполномоченному оператору заявления на возврат в ЕНПФ всей суммы или части суммы выплат целевых накоплений;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2) расторжения договора об образовательном накопительном вкладе или договора образовательного накопительного страхования, заключенного в рамках государственной образовательной накопительной системы, пополненного выплатами целевых накоплений; 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3) непредставления всех необходимых документов на улучшение жилищных условий и (или) оплаты образования получателем целевых накоплений;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4) возврата выплат целевых накоплений от банков второго уровня или страховых организаций, или организаций образования, реализующих образовательные программы технического и профессионального, 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, высшего и послевузовского (магистратуры) образования.</w:t>
            </w:r>
          </w:p>
        </w:tc>
      </w:tr>
      <w:tr w:rsidR="00967BF5" w:rsidRPr="00967BF5" w:rsidTr="009B1699">
        <w:trPr>
          <w:trHeight w:val="22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9" w:rsidRPr="00967BF5" w:rsidRDefault="009B1699" w:rsidP="00CF59F9">
            <w:pPr>
              <w:pStyle w:val="a4"/>
              <w:widowControl w:val="0"/>
              <w:numPr>
                <w:ilvl w:val="0"/>
                <w:numId w:val="7"/>
              </w:numPr>
              <w:pBdr>
                <w:bottom w:val="single" w:sz="4" w:space="31" w:color="FFFFFF"/>
              </w:pBd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Предоставлена ли возможность проверять накопления родителям?</w:t>
            </w:r>
          </w:p>
          <w:p w:rsidR="009B1699" w:rsidRPr="00967BF5" w:rsidRDefault="009B1699" w:rsidP="00CF59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3A" w:rsidRPr="00967BF5" w:rsidRDefault="003058D3" w:rsidP="001E263A">
            <w:pPr>
              <w:widowControl w:val="0"/>
              <w:pBdr>
                <w:bottom w:val="single" w:sz="4" w:space="31" w:color="FFFFFF"/>
              </w:pBd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1E263A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законные представители несовершеннолетнего могут просматривать начисления </w:t>
            </w:r>
            <w:r w:rsidR="001E263A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 w:rsidR="001E263A"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kids.enpf.kz,</w:t>
            </w:r>
            <w:r w:rsidR="001E263A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обильном приложении 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eGov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и в банковских приложениях </w:t>
            </w:r>
            <w:r w:rsidR="001E263A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(банки </w:t>
            </w:r>
            <w:proofErr w:type="spellStart"/>
            <w:r w:rsidR="001E263A" w:rsidRPr="00967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aspi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1E263A" w:rsidRPr="00967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alyk</w:t>
            </w:r>
            <w:proofErr w:type="spellEnd"/>
            <w:r w:rsidR="001E263A" w:rsidRPr="00967B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9B1699" w:rsidRPr="00967BF5" w:rsidRDefault="003058D3" w:rsidP="001E263A">
            <w:pPr>
              <w:widowControl w:val="0"/>
              <w:pBdr>
                <w:bottom w:val="single" w:sz="4" w:space="31" w:color="FFFFFF"/>
              </w:pBd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Когда ребенку исполнится восемнадцать лет</w:t>
            </w:r>
            <w:r w:rsidR="001E263A" w:rsidRPr="00967B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в ЕНПФ ему будет открыт целевой накопительный счет, доступ к которому будет только у самого получателя целевых накоплений (совершеннолетнего ребенка).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Ребенку открыли счет в ЕНПФ и перечислили его целевые накопления. Однако за месяц до достижения им 18 лет он сменил гражданство. Что будет с его целевыми накоплениями?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При прекращении гражданства Республики Казахстан до или после достижения восемнадцати лет участник целевых требований или получатель целевых накоплений утрачивает право на получение выплаты целевых накоплений, при этом: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1) целевые требования участника целевых требований подлежат распределению между другими участниками целевых требований в установленном порядке;</w:t>
            </w:r>
          </w:p>
          <w:p w:rsidR="009B1699" w:rsidRPr="00967BF5" w:rsidRDefault="003058D3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967BF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целевые накопления получателя целевых накоплений подлежат списанию с целевого накопительного счета и распределению между другими участниками целевых требований в </w:t>
            </w:r>
            <w:r w:rsidRPr="00967BF5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конце отчетного года</w:t>
            </w: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При этом целевой накопительный счет получателя целевых накоплений закрывается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случае смерти 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частника целевых требований -</w:t>
            </w:r>
            <w:r w:rsidR="001E263A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олучателя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целевых накоплений какие документы и куда их нужно предоставить наследнику для получения унаследованных целевых накоплений?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Наследник (наследники) умершего участника целевых требований или получателя целевых накоплений за выплатой целевых накоплений обращаются в ЕНПФ только после зачисления целевых накоплений умерших лиц на целевой накопительный счет в ЕНПФ. 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Актуальный перечень необходимых документов для оформления пенсионных выплат в связи со смертью лица, имеющего пенсионные накопления в ЕНПФ, в зависимости от способа подачи документов, а также бланки заявлений и образцы их заполнения в зависимости от вида валюты платежа, образец доверенности размещены на веб-сайте ЕНПФ по адресу www.enpf.kz.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Для зачисления выплат наследники открывают банковский счет </w:t>
            </w:r>
            <w:r w:rsidR="001E263A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в банке -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уполномоченно</w:t>
            </w:r>
            <w:r w:rsidR="001E263A" w:rsidRPr="00967B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</w:t>
            </w:r>
            <w:r w:rsidR="001E263A" w:rsidRPr="00967B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в долларах США.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При этом наследники смогут использовать деньги на любые цели, то есть отменяется обязательное требование по их целевому использованию.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Можно ли использовать целевые накопления не полностью, а по частям?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Целевыми накоплениями на целевом накопительном счете можно воспользоваться неограниченное количество раз в пределах имеющихся целевых накоплений согласно целевому назначению, при условии достижения получателем восемнадцатилетнего возраста и наличия гражданства Республики Казахстан.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Какие вопросы в рамках программы входят в компетенцию ЕНПФ, а какие уполномоченного оператора?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ЕНПФ обязан: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1) осуществлять открытие целевых накопительных счетов для учета и зачисления целевых накоплений;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2) осуществлять учет целевых активов и целевых требований, учет и зачисление целевых накоплений на целевых накопительных счетах, выплат целевых накоплений получателю целевых накоплений с целевого накопительного счета на счета уполномоченных операторов, учет возвратов целевых накоплений;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3) представлять без взимания платы посредством 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единого накопительного пенсионного фонда и (или) веб-портала «электронного правительства» следующие сведения о: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сумме целевых требований участнику целевых требований или его законному представителю;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сумме целевых накоплений по запросу получателя целевых накоплений на любую запрашиваемую дату с даты открытия целевого накопительного счета;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4) осуществлять выплаты целевых накоплений в долларах США в целях улучшения жилищных условий и (или) оплаты образования на счета получателей целевых накоплений, открытые у уполномоченного оператора, а также на банковские счета наследников умерших либо объявленных умершими вступившим в законную силу решением суда участников целевых требований или получателей целевых накоплений, открытые у уполномоченного оператора;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осуществлять взаимодействие с уполномоченным оператором по вопросам учета, выплаты и возврата целевых накоплений;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6) осуществлять перевод целевых накоплений получателя целевых накоплений с целевых накопительных счетов, которые были не использованы в течение десяти лет после достижения получателем целевых накоплений восемнадцатилетнего возраста, на индивидуальный пенсионный счет для учета добровольных пенсионных взносов.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Уполномоченный оператор (УО) обязан: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1) осуществлять открытие и ведение банковских счетов для зачисления выплат целевых накоплений, перечисляемых ЕНПФ в целях улучшения жилищных условий и (или) оплаты образования;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2) осуществлять посредством 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УО прием от получателей либо от законных представителей получателей (в случае недееспособности (ограниченной дееспособности) получателей) в адрес УО заявлений на выплату целевых накоплений;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3) осуществлять прием и проверку документов по подтверждению целевого назначения выплат целевых накоплений в целях улучшения жилищных условий и (или) оплаты образования;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4) перечислять целевые накопления по их целевому назначению;</w:t>
            </w:r>
          </w:p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5) осуществлять возврат в ЕНПФ сумм выплат целевых накоплений (в долларах США) с указанием причин возврата.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9" w:rsidRPr="00967BF5" w:rsidRDefault="009B169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узнать, сколько денег положено моему ребенку?</w:t>
            </w:r>
          </w:p>
          <w:p w:rsidR="009B1699" w:rsidRPr="00967BF5" w:rsidRDefault="009B1699" w:rsidP="00CF59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3058D3" w:rsidP="0048140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 w:rsidR="001E263A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ЕНПФ </w:t>
            </w: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kids.enpf.kz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1E263A"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обильном приложении 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eGov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и в банковских приложениях </w:t>
            </w:r>
            <w:r w:rsidR="001E263A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(банки </w:t>
            </w:r>
            <w:proofErr w:type="spellStart"/>
            <w:r w:rsidR="001E263A" w:rsidRPr="00967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aspi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1E263A" w:rsidRPr="00967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alyk</w:t>
            </w:r>
            <w:proofErr w:type="spellEnd"/>
            <w:r w:rsidR="001E263A" w:rsidRPr="00967B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Вы можете проверить </w:t>
            </w:r>
            <w:r w:rsidR="001E263A" w:rsidRPr="00967BF5">
              <w:rPr>
                <w:rFonts w:ascii="Times New Roman" w:hAnsi="Times New Roman" w:cs="Times New Roman"/>
                <w:sz w:val="24"/>
                <w:szCs w:val="24"/>
              </w:rPr>
              <w:t>накопленную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сумму целевых требований, начисленн</w:t>
            </w:r>
            <w:r w:rsidR="001E263A" w:rsidRPr="00967BF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Вашему ребенку. Отметим, что на сайте ЕНПФ указывается общая сумма. Если Вы желаете увидеть подробную разбивку начислений по годам, то Вам следует скачать и зайти в 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обильное приложение 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eGov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, банковские приложения </w:t>
            </w:r>
            <w:r w:rsidR="00481402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(банки </w:t>
            </w:r>
            <w:proofErr w:type="spellStart"/>
            <w:r w:rsidR="00481402" w:rsidRPr="00967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aspi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81402" w:rsidRPr="00967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alyk</w:t>
            </w:r>
            <w:proofErr w:type="spellEnd"/>
            <w:r w:rsidR="00481402" w:rsidRPr="00967B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9" w:rsidRPr="00967BF5" w:rsidRDefault="009B169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Если целевые требования ребенку начислены, но отсутствует целевой накопительный счет (ЦНС)?</w:t>
            </w:r>
          </w:p>
          <w:p w:rsidR="009B1699" w:rsidRPr="00967BF5" w:rsidRDefault="009B1699" w:rsidP="00CF59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02" w:rsidRPr="00967BF5" w:rsidRDefault="009B1699" w:rsidP="00CF59F9">
            <w:pPr>
              <w:pStyle w:val="a4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Целевой накопительный счет </w:t>
            </w:r>
            <w:r w:rsidR="00481402"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 ЕНПФ </w:t>
            </w: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открывается в год достижения совершеннолетия ребенка. До этого </w:t>
            </w:r>
            <w:r w:rsidR="00481402"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ребенку в ЕНПФ </w:t>
            </w: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начисляются целевые требования. </w:t>
            </w:r>
          </w:p>
          <w:p w:rsidR="009B1699" w:rsidRPr="00967BF5" w:rsidRDefault="009B1699" w:rsidP="00CF59F9">
            <w:pPr>
              <w:pStyle w:val="a4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 сайте ЕНПФ kids.enpf.kz в разделе «Поиск участника» следует ввести ИИН ребенка и нажать кнопку «Проверить». Будет доступна информация, в которой указан отчетный год, с которого ребенок стал участником целевых требований, и общая сумма целевых требований на год обращения. Учет целевых требований ведется в долларах США. Для сведения также представлен расчет в национальной валюте – тенге по курсу НБРК на текущую дату. </w:t>
            </w:r>
          </w:p>
          <w:p w:rsidR="009B1699" w:rsidRPr="00967BF5" w:rsidRDefault="009B1699" w:rsidP="00481402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Важно</w:t>
            </w:r>
            <w:r w:rsidR="00481402"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подчеркнуть, что д</w:t>
            </w: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достижения детьми 18 лет целевые требования и инвестиционный доход будут начисляться им без права использования!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9" w:rsidRPr="00967BF5" w:rsidRDefault="009B169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Что делать, если выходит информация, что физическое лицо не является гражданином РК?</w:t>
            </w:r>
          </w:p>
          <w:p w:rsidR="009B1699" w:rsidRPr="00967BF5" w:rsidRDefault="009B1699" w:rsidP="00CF59F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pStyle w:val="a4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Если ребенок с указанным ИИН, согласно сведениям из Государственной базы данных «Физические лица» (ГБДФЛ), не является гражданином РК, следовательно, он (она) не является Участником целевых требований.</w:t>
            </w:r>
          </w:p>
          <w:p w:rsidR="009B1699" w:rsidRPr="00967BF5" w:rsidRDefault="009B1699" w:rsidP="00CF59F9">
            <w:pPr>
              <w:pStyle w:val="a4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 необходимости актуализации сведений в ГБДФЛ рекомендуем обратиться в миграционную службу по месту проживания.</w:t>
            </w:r>
          </w:p>
          <w:p w:rsidR="009B1699" w:rsidRPr="00967BF5" w:rsidRDefault="009B1699" w:rsidP="00CF59F9">
            <w:pPr>
              <w:pStyle w:val="a4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После внесения соответствующих корректировок в ГБДФЛ</w:t>
            </w:r>
            <w:r w:rsidR="00481402"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ЕНПФ включит </w:t>
            </w:r>
            <w:r w:rsidR="00481402"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данное физическое лицо в список </w:t>
            </w: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Участников целевых требований и (или) Получателей целевых накоплений с учетом пропущенного периода.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9" w:rsidRPr="00967BF5" w:rsidRDefault="009B169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Какая информация будет отражена в ЕНПФ, если Участник целевых требований утратил гражданство (вышел из гражданства) Республики Казахстан?</w:t>
            </w:r>
          </w:p>
          <w:p w:rsidR="009B1699" w:rsidRPr="00967BF5" w:rsidRDefault="009B1699" w:rsidP="00CF59F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Если физическое лицо с указанным ИИН не является гражданином РК, следовательно, он (она) не имеет право на целевые требования в соответствии с законодательством РК.</w:t>
            </w:r>
          </w:p>
          <w:p w:rsidR="009B1699" w:rsidRPr="00967BF5" w:rsidRDefault="009B1699" w:rsidP="00481402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 сайте ЕНПФ (kids.enpf.kz) в разделе «Поиск участника» </w:t>
            </w: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вводе</w:t>
            </w: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ИИН ребенка и нажатии кнопки «Проверить» будет доступна информация  «</w:t>
            </w:r>
            <w:r w:rsidRPr="00967B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Физическое лицо не является гражданином РК, следовательно, не имеет права на целевые требования в соответствии с законодательством РК</w:t>
            </w: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9" w:rsidRPr="00967BF5" w:rsidRDefault="009B1699" w:rsidP="00CF59F9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На какие цели ребенок сможет потратить полученные средства?</w:t>
            </w:r>
          </w:p>
          <w:p w:rsidR="009B1699" w:rsidRPr="00967BF5" w:rsidRDefault="009B1699" w:rsidP="00CF59F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Согласно Закону «О правах ребенка в Республики Казахстан» целевые накопления выплачиваются в целях улучшения жилищных условий и (или) оплаты образования. Выплаты доступны после достижения участником программы 18 лет.</w:t>
            </w:r>
          </w:p>
          <w:p w:rsidR="009B1699" w:rsidRPr="00967BF5" w:rsidRDefault="009B1699" w:rsidP="00481402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Детальные условия по использованию выплат целевых накоплений регламентированы в Правилах использования выплат целевых накоплений из Единого накопительного пенсионного фонда в целях улучшения жилищных условий и в целях оплаты образования.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9" w:rsidRPr="00967BF5" w:rsidRDefault="009B1699" w:rsidP="00CF59F9">
            <w:pPr>
              <w:pStyle w:val="a4"/>
              <w:widowControl w:val="0"/>
              <w:numPr>
                <w:ilvl w:val="0"/>
                <w:numId w:val="7"/>
              </w:numPr>
              <w:pBdr>
                <w:bottom w:val="single" w:sz="4" w:space="31" w:color="FFFFFF"/>
              </w:pBd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Как долго могут находиться накопления в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Едином накопительном пенсионном фонде? </w:t>
            </w:r>
          </w:p>
          <w:p w:rsidR="009B1699" w:rsidRPr="00967BF5" w:rsidRDefault="009B1699" w:rsidP="00CF59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widowControl w:val="0"/>
              <w:pBdr>
                <w:bottom w:val="single" w:sz="4" w:space="31" w:color="FFFFFF"/>
              </w:pBd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По истечении 10 лет (после достижения участником программы 18</w:t>
            </w:r>
            <w:r w:rsidR="00481402" w:rsidRPr="00967BF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-ти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летнего возраста) неиспользованные участником суммы целевых накоплений остаются в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ЕНПФ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и переводятся с целевого накопительного счета на его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индивидуальный пенсионный счет, открытый для учета добровольных пенсионных взносов.</w:t>
            </w:r>
          </w:p>
          <w:p w:rsidR="009B1699" w:rsidRPr="00967BF5" w:rsidRDefault="009B1699" w:rsidP="00CF59F9">
            <w:pPr>
              <w:widowControl w:val="0"/>
              <w:pBdr>
                <w:bottom w:val="single" w:sz="4" w:space="31" w:color="FFFFFF"/>
              </w:pBd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Условия и порядок использования добровольных пенсионных накоплений предусмотрены пенсионным законодательством РК.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9" w:rsidRPr="00967BF5" w:rsidRDefault="009B1699" w:rsidP="00CF59F9">
            <w:pPr>
              <w:pStyle w:val="a4"/>
              <w:widowControl w:val="0"/>
              <w:numPr>
                <w:ilvl w:val="0"/>
                <w:numId w:val="7"/>
              </w:numPr>
              <w:pBdr>
                <w:bottom w:val="single" w:sz="4" w:space="31" w:color="FFFFFF"/>
              </w:pBd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В какой валюте будет производиться накопление и последующее перечисление целевых накоплений получателю целевых накоплений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B1699" w:rsidRPr="00967BF5" w:rsidRDefault="009B1699" w:rsidP="00CF59F9">
            <w:pPr>
              <w:pStyle w:val="a4"/>
              <w:widowControl w:val="0"/>
              <w:pBdr>
                <w:bottom w:val="single" w:sz="4" w:space="31" w:color="FFFFFF"/>
              </w:pBd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widowControl w:val="0"/>
              <w:pBdr>
                <w:bottom w:val="single" w:sz="4" w:space="31" w:color="FFFFFF"/>
              </w:pBd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lastRenderedPageBreak/>
              <w:t xml:space="preserve">Согласно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«О правах ребенка в Республики Казахстан» (далее – Закон) учет целевых требований и целевых накоплений ведется в долларах США. </w:t>
            </w:r>
          </w:p>
          <w:p w:rsidR="009B1699" w:rsidRPr="00967BF5" w:rsidRDefault="009B1699" w:rsidP="00CF59F9">
            <w:pPr>
              <w:widowControl w:val="0"/>
              <w:pBdr>
                <w:bottom w:val="single" w:sz="4" w:space="31" w:color="FFFFFF"/>
              </w:pBd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Выплаты целевых накоплений зачисляются на банковские счета получателей целевых накоплений, открываемые ими в долларах США </w:t>
            </w:r>
            <w:r w:rsidR="00481402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в банках -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уполномоченных оператор</w:t>
            </w:r>
            <w:r w:rsidR="00481402" w:rsidRPr="00967BF5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B1699" w:rsidRPr="00967BF5" w:rsidRDefault="009B1699" w:rsidP="00CF59F9">
            <w:pPr>
              <w:widowControl w:val="0"/>
              <w:pBdr>
                <w:bottom w:val="single" w:sz="4" w:space="31" w:color="FFFFFF"/>
              </w:pBd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В соответствии с пунктом 3 статьи 7-6 Закона </w:t>
            </w:r>
            <w:r w:rsidRPr="00967BF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lastRenderedPageBreak/>
              <w:t>основанием для отказа выплаты целевых накоплений является прекращение гражданства Республики Казахстан участника целевых требований либо получателя целевых накоплений.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pStyle w:val="a4"/>
              <w:widowControl w:val="0"/>
              <w:numPr>
                <w:ilvl w:val="0"/>
                <w:numId w:val="7"/>
              </w:numPr>
              <w:pBdr>
                <w:bottom w:val="single" w:sz="4" w:space="31" w:color="FFFFFF"/>
              </w:pBd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 средства будут подлежать обложению налогами?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widowControl w:val="0"/>
              <w:pBdr>
                <w:bottom w:val="single" w:sz="4" w:space="31" w:color="FFFFFF"/>
              </w:pBd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Согласно Налоговому кодексу РК выплаты целевых накоплений освобождены от налогообложения.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9" w:rsidRPr="00967BF5" w:rsidRDefault="009B1699" w:rsidP="00CF59F9">
            <w:pPr>
              <w:pStyle w:val="a4"/>
              <w:widowControl w:val="0"/>
              <w:numPr>
                <w:ilvl w:val="0"/>
                <w:numId w:val="7"/>
              </w:numPr>
              <w:pBdr>
                <w:bottom w:val="single" w:sz="4" w:space="31" w:color="FFFFFF"/>
              </w:pBd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В каких банках можно открывать банковский счет для получения выплат из 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Нацфонда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? Есть ли какие-то критерии, требования к банкам при участии в проекте 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Нацфонд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-детям? </w:t>
            </w:r>
          </w:p>
          <w:p w:rsidR="009B1699" w:rsidRPr="00967BF5" w:rsidRDefault="009B1699" w:rsidP="00CF59F9">
            <w:pPr>
              <w:pStyle w:val="a4"/>
              <w:widowControl w:val="0"/>
              <w:pBdr>
                <w:bottom w:val="single" w:sz="4" w:space="31" w:color="FFFFFF"/>
              </w:pBd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widowControl w:val="0"/>
              <w:pBdr>
                <w:bottom w:val="single" w:sz="4" w:space="31" w:color="FFFFFF"/>
              </w:pBd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Закон «О правах ребенка в Республики Казахстан» (далее – Закон) не устанавливает никаких ограничений по банкам второго уровня, принять участие </w:t>
            </w:r>
            <w:r w:rsidR="00481402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может любой банк второго уровня Казахстана, заключивший с ЕНПФ соответствующее соглашение. </w:t>
            </w:r>
          </w:p>
          <w:p w:rsidR="00481402" w:rsidRPr="00967BF5" w:rsidRDefault="009B1699" w:rsidP="00CF59F9">
            <w:pPr>
              <w:widowControl w:val="0"/>
              <w:pBdr>
                <w:bottom w:val="single" w:sz="4" w:space="31" w:color="FFFFFF"/>
              </w:pBd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сегодняшний день уполномоченными операторами являются</w:t>
            </w:r>
            <w:r w:rsidR="00481402" w:rsidRPr="00967B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9B1699" w:rsidRPr="00967BF5" w:rsidRDefault="009B1699" w:rsidP="00CF59F9">
            <w:pPr>
              <w:widowControl w:val="0"/>
              <w:pBdr>
                <w:bottom w:val="single" w:sz="4" w:space="31" w:color="FFFFFF"/>
              </w:pBd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АО «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Отбасы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банк» (по жилью и образованию), </w:t>
            </w:r>
          </w:p>
          <w:p w:rsidR="009B1699" w:rsidRPr="00967BF5" w:rsidRDefault="009B1699" w:rsidP="00CF59F9">
            <w:pPr>
              <w:widowControl w:val="0"/>
              <w:pBdr>
                <w:bottom w:val="single" w:sz="4" w:space="31" w:color="FFFFFF"/>
              </w:pBd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АО «Народный банк» (по образованию), </w:t>
            </w:r>
          </w:p>
          <w:p w:rsidR="009B1699" w:rsidRPr="00967BF5" w:rsidRDefault="009B1699" w:rsidP="00CF59F9">
            <w:pPr>
              <w:widowControl w:val="0"/>
              <w:pBdr>
                <w:bottom w:val="single" w:sz="4" w:space="31" w:color="FFFFFF"/>
              </w:pBd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АО «Банк 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ЦентрКредит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(по образованию).</w:t>
            </w:r>
          </w:p>
        </w:tc>
      </w:tr>
      <w:tr w:rsidR="00967BF5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9" w:rsidRPr="00967BF5" w:rsidRDefault="009B1699" w:rsidP="00CF59F9">
            <w:pPr>
              <w:pStyle w:val="a4"/>
              <w:widowControl w:val="0"/>
              <w:numPr>
                <w:ilvl w:val="0"/>
                <w:numId w:val="7"/>
              </w:numPr>
              <w:pBdr>
                <w:bottom w:val="single" w:sz="4" w:space="31" w:color="FFFFFF"/>
              </w:pBd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Переехали на историческую родину в Казахстан, имеем статус «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кандас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», может ли наш ребенок участвовать в проекте «</w:t>
            </w:r>
            <w:proofErr w:type="spellStart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Нацфонд</w:t>
            </w:r>
            <w:proofErr w:type="spellEnd"/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-детям»?</w:t>
            </w:r>
          </w:p>
          <w:p w:rsidR="009B1699" w:rsidRPr="00967BF5" w:rsidRDefault="009B1699" w:rsidP="00CF59F9">
            <w:pPr>
              <w:pStyle w:val="a4"/>
              <w:widowControl w:val="0"/>
              <w:pBdr>
                <w:bottom w:val="single" w:sz="4" w:space="31" w:color="FFFFFF"/>
              </w:pBd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widowControl w:val="0"/>
              <w:pBdr>
                <w:bottom w:val="single" w:sz="4" w:space="31" w:color="FFFFFF"/>
              </w:pBd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Согласно Закону «О правах ребенка в Республики Казахстан» участником целевых требований является гражданин Республики Казахстан, не достигший восемнадцати лет.</w:t>
            </w:r>
          </w:p>
          <w:p w:rsidR="009B1699" w:rsidRPr="00967BF5" w:rsidRDefault="00481402" w:rsidP="00481402">
            <w:pPr>
              <w:widowControl w:val="0"/>
              <w:pBdr>
                <w:bottom w:val="single" w:sz="4" w:space="31" w:color="FFFFFF"/>
              </w:pBd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После получения гражданства Республики Казахстан в</w:t>
            </w:r>
            <w:r w:rsidR="009B1699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Законом «О гражданстве Республики Казахстан», ребенок сможет принять участие в про</w:t>
            </w:r>
            <w:r w:rsidRPr="00967BF5">
              <w:rPr>
                <w:rFonts w:ascii="Times New Roman" w:hAnsi="Times New Roman" w:cs="Times New Roman"/>
                <w:sz w:val="24"/>
                <w:szCs w:val="24"/>
              </w:rPr>
              <w:t>грамме</w:t>
            </w:r>
            <w:r w:rsidR="009B1699" w:rsidRPr="00967BF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B1699" w:rsidRPr="00967BF5">
              <w:rPr>
                <w:rFonts w:ascii="Times New Roman" w:hAnsi="Times New Roman" w:cs="Times New Roman"/>
                <w:sz w:val="24"/>
                <w:szCs w:val="24"/>
              </w:rPr>
              <w:t>Нацфонд</w:t>
            </w:r>
            <w:proofErr w:type="spellEnd"/>
            <w:r w:rsidR="009B1699" w:rsidRPr="00967BF5">
              <w:rPr>
                <w:rFonts w:ascii="Times New Roman" w:hAnsi="Times New Roman" w:cs="Times New Roman"/>
                <w:sz w:val="24"/>
                <w:szCs w:val="24"/>
              </w:rPr>
              <w:t>-детям».</w:t>
            </w:r>
          </w:p>
        </w:tc>
      </w:tr>
      <w:tr w:rsidR="009B1699" w:rsidRPr="00967BF5" w:rsidTr="009B169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9" w:rsidRPr="00967BF5" w:rsidRDefault="009B1699" w:rsidP="00CF59F9">
            <w:pPr>
              <w:pStyle w:val="a4"/>
              <w:numPr>
                <w:ilvl w:val="0"/>
                <w:numId w:val="7"/>
              </w:numPr>
              <w:tabs>
                <w:tab w:val="left" w:pos="56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будет, если инвестиционный доход за какой-то год будет отрицательный?</w:t>
            </w:r>
          </w:p>
          <w:p w:rsidR="009B1699" w:rsidRPr="00967BF5" w:rsidRDefault="009B1699" w:rsidP="00CF59F9">
            <w:pPr>
              <w:pStyle w:val="a4"/>
              <w:widowControl w:val="0"/>
              <w:pBdr>
                <w:bottom w:val="single" w:sz="4" w:space="31" w:color="FFFFFF"/>
              </w:pBd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99" w:rsidRPr="00967BF5" w:rsidRDefault="009B1699" w:rsidP="00CF59F9">
            <w:pPr>
              <w:tabs>
                <w:tab w:val="left" w:pos="563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Активы Национального фонда инвестируются на долгосрочной основе и результаты инвестирования зависят от ситуации на финансовых рынках, на которые влияют разные рыночные факторы. Поэтому, для того, чтобы нивелировать возможные </w:t>
            </w:r>
            <w:r w:rsidR="00481402" w:rsidRPr="0096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риски </w:t>
            </w:r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снижения инвестиционной доходности валютной части активов </w:t>
            </w:r>
            <w:proofErr w:type="spellStart"/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Нацфонда</w:t>
            </w:r>
            <w:proofErr w:type="spellEnd"/>
            <w:r w:rsidRPr="00967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отдельные периоды, она усредняется за восемнадцать лет, предшествующих отчетному году.</w:t>
            </w:r>
          </w:p>
        </w:tc>
      </w:tr>
      <w:bookmarkEnd w:id="0"/>
    </w:tbl>
    <w:p w:rsidR="00284FE2" w:rsidRPr="00967BF5" w:rsidRDefault="00284FE2" w:rsidP="009B1699">
      <w:pPr>
        <w:rPr>
          <w:rFonts w:ascii="Times New Roman" w:hAnsi="Times New Roman" w:cs="Times New Roman"/>
          <w:sz w:val="24"/>
          <w:szCs w:val="24"/>
        </w:rPr>
      </w:pPr>
    </w:p>
    <w:sectPr w:rsidR="00284FE2" w:rsidRPr="00967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026E"/>
    <w:multiLevelType w:val="hybridMultilevel"/>
    <w:tmpl w:val="DE96B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C7FB8"/>
    <w:multiLevelType w:val="hybridMultilevel"/>
    <w:tmpl w:val="387C4372"/>
    <w:lvl w:ilvl="0" w:tplc="70DAD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77281"/>
    <w:multiLevelType w:val="hybridMultilevel"/>
    <w:tmpl w:val="61E62556"/>
    <w:lvl w:ilvl="0" w:tplc="B8483D6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365ACE"/>
    <w:multiLevelType w:val="hybridMultilevel"/>
    <w:tmpl w:val="11322102"/>
    <w:lvl w:ilvl="0" w:tplc="4DDEAB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CD0EDD"/>
    <w:multiLevelType w:val="hybridMultilevel"/>
    <w:tmpl w:val="AD82D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lvl w:ilvl="0" w:tplc="4DDEAB32">
        <w:start w:val="1"/>
        <w:numFmt w:val="decimal"/>
        <w:lvlText w:val="%1."/>
        <w:lvlJc w:val="left"/>
        <w:pPr>
          <w:ind w:left="567" w:firstLine="142"/>
        </w:p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789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509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3229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949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669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389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6109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829" w:hanging="180"/>
        </w:pPr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89"/>
    <w:rsid w:val="00011DFD"/>
    <w:rsid w:val="000564A1"/>
    <w:rsid w:val="000D2C6E"/>
    <w:rsid w:val="0010045E"/>
    <w:rsid w:val="001544B1"/>
    <w:rsid w:val="001B27C4"/>
    <w:rsid w:val="001C600A"/>
    <w:rsid w:val="001D1D7B"/>
    <w:rsid w:val="001E263A"/>
    <w:rsid w:val="00207971"/>
    <w:rsid w:val="002142AF"/>
    <w:rsid w:val="002315BA"/>
    <w:rsid w:val="00233D8B"/>
    <w:rsid w:val="00284FE2"/>
    <w:rsid w:val="002864EB"/>
    <w:rsid w:val="002D52C8"/>
    <w:rsid w:val="003058D3"/>
    <w:rsid w:val="00377EBC"/>
    <w:rsid w:val="003850CD"/>
    <w:rsid w:val="003B1B08"/>
    <w:rsid w:val="003C527B"/>
    <w:rsid w:val="0044235D"/>
    <w:rsid w:val="00465BB3"/>
    <w:rsid w:val="00481402"/>
    <w:rsid w:val="004832F4"/>
    <w:rsid w:val="00497865"/>
    <w:rsid w:val="00540910"/>
    <w:rsid w:val="005C21D8"/>
    <w:rsid w:val="005D4983"/>
    <w:rsid w:val="00623F13"/>
    <w:rsid w:val="00696E89"/>
    <w:rsid w:val="006A06F0"/>
    <w:rsid w:val="006A1E17"/>
    <w:rsid w:val="006B6959"/>
    <w:rsid w:val="00733C24"/>
    <w:rsid w:val="00733E2C"/>
    <w:rsid w:val="00770C64"/>
    <w:rsid w:val="0078237D"/>
    <w:rsid w:val="008A1287"/>
    <w:rsid w:val="0091170B"/>
    <w:rsid w:val="00967BF5"/>
    <w:rsid w:val="00974829"/>
    <w:rsid w:val="009B1699"/>
    <w:rsid w:val="00A0264F"/>
    <w:rsid w:val="00A57CE1"/>
    <w:rsid w:val="00A805E7"/>
    <w:rsid w:val="00AB40C4"/>
    <w:rsid w:val="00AE4DD4"/>
    <w:rsid w:val="00B1292F"/>
    <w:rsid w:val="00B473C3"/>
    <w:rsid w:val="00B6096F"/>
    <w:rsid w:val="00B9316B"/>
    <w:rsid w:val="00BE43A1"/>
    <w:rsid w:val="00C86FF0"/>
    <w:rsid w:val="00CA0033"/>
    <w:rsid w:val="00CF59F9"/>
    <w:rsid w:val="00D677C5"/>
    <w:rsid w:val="00E011D7"/>
    <w:rsid w:val="00E25710"/>
    <w:rsid w:val="00E30559"/>
    <w:rsid w:val="00E36A4C"/>
    <w:rsid w:val="00E63C0F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23120-1BA5-4475-AC80-9F8DC517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AC List 01,Bullet 1,Bullet List,Colorful List - Accent 11,Colorful List - Accent 11CxSpLast,FooterText,H1-1,Heading1,List Paragraph_0,Use Case List Paragraph,numbered,Абзац,Заголовок3,Заголовок_3,Содержание. 2 уровень,Списки,маркированный"/>
    <w:basedOn w:val="a"/>
    <w:link w:val="a5"/>
    <w:uiPriority w:val="34"/>
    <w:qFormat/>
    <w:rsid w:val="00696E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4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44B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AE4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9316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9316B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233D8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33D8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33D8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33D8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33D8B"/>
    <w:rPr>
      <w:b/>
      <w:bCs/>
      <w:sz w:val="20"/>
      <w:szCs w:val="20"/>
    </w:rPr>
  </w:style>
  <w:style w:type="paragraph" w:customStyle="1" w:styleId="pj">
    <w:name w:val="pj"/>
    <w:basedOn w:val="a"/>
    <w:rsid w:val="002864EB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2864E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5">
    <w:name w:val="Абзац списка Знак"/>
    <w:aliases w:val="AC List 01 Знак,Bullet 1 Знак,Bullet List Знак,Colorful List - Accent 11 Знак,Colorful List - Accent 11CxSpLast Знак,FooterText Знак,H1-1 Знак,Heading1 Знак,List Paragraph_0 Знак,Use Case List Paragraph Знак,numbered Знак,Абзац Знак"/>
    <w:basedOn w:val="a0"/>
    <w:link w:val="a4"/>
    <w:uiPriority w:val="34"/>
    <w:qFormat/>
    <w:locked/>
    <w:rsid w:val="00B4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2257</Words>
  <Characters>15435</Characters>
  <Application>Microsoft Office Word</Application>
  <DocSecurity>0</DocSecurity>
  <Lines>486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enpf.kz</Company>
  <LinksUpToDate>false</LinksUpToDate>
  <CharactersWithSpaces>17615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Увакасова Гульнур Татымкожакызы</dc:creator>
  <cp:keywords/>
  <dc:description/>
  <cp:lastModifiedBy>Акмаева Марина Абдрахмановна</cp:lastModifiedBy>
  <cp:revision>2</cp:revision>
  <cp:lastPrinted>2025-01-10T09:44:00Z</cp:lastPrinted>
  <dcterms:created xsi:type="dcterms:W3CDTF">2026-01-26T10:23:00Z</dcterms:created>
  <dcterms:modified xsi:type="dcterms:W3CDTF">2026-01-26T10:23:00Z</dcterms:modified>
</cp:coreProperties>
</file>